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 xml:space="preserve">.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 xml:space="preserve">del ruolo </w:t>
      </w:r>
      <w:r w:rsidR="00294D28">
        <w:rPr>
          <w:rFonts w:ascii="Tahoma" w:hAnsi="Tahoma" w:cs="Tahoma"/>
          <w:sz w:val="20"/>
          <w:szCs w:val="20"/>
        </w:rPr>
        <w:t xml:space="preserve">Amministrativo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dell’ </w:t>
      </w:r>
      <w:r w:rsidR="004001CF">
        <w:rPr>
          <w:rFonts w:ascii="Tahoma" w:hAnsi="Tahoma" w:cs="Tahoma"/>
          <w:sz w:val="20"/>
          <w:szCs w:val="20"/>
        </w:rPr>
        <w:t xml:space="preserve">UOC “Marketing dei Servizi”, 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4001CF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lastRenderedPageBreak/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E62F16" w:rsidRPr="00E62F16" w:rsidRDefault="00E62F16" w:rsidP="00E62F1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62F16">
        <w:rPr>
          <w:rFonts w:ascii="Tahoma" w:hAnsi="Tahoma" w:cs="Tahoma"/>
          <w:b/>
          <w:sz w:val="20"/>
          <w:szCs w:val="20"/>
        </w:rPr>
        <w:t>Anzianità di servizio di cinque anni</w:t>
      </w:r>
      <w:r w:rsidR="006A651B">
        <w:rPr>
          <w:rFonts w:ascii="Tahoma" w:hAnsi="Tahoma" w:cs="Tahoma"/>
          <w:b/>
          <w:sz w:val="20"/>
          <w:szCs w:val="20"/>
        </w:rPr>
        <w:t xml:space="preserve"> nel ruolo dirigenziale a bando;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F7443" w:rsidTr="00006216">
        <w:trPr>
          <w:trHeight w:val="1253"/>
        </w:trPr>
        <w:tc>
          <w:tcPr>
            <w:tcW w:w="2973" w:type="dxa"/>
          </w:tcPr>
          <w:p w:rsidR="005F7443" w:rsidRDefault="005F7443" w:rsidP="0000621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52CEB6" wp14:editId="3ED10A3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F7443" w:rsidRDefault="005F7443" w:rsidP="00006216">
            <w:pPr>
              <w:jc w:val="center"/>
              <w:rPr>
                <w:noProof/>
              </w:rPr>
            </w:pPr>
          </w:p>
          <w:p w:rsidR="005F7443" w:rsidRPr="000F3DF4" w:rsidRDefault="005F7443" w:rsidP="0000621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F7443" w:rsidRPr="000F3DF4" w:rsidRDefault="005F7443" w:rsidP="0000621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F7443" w:rsidRDefault="005F7443" w:rsidP="0000621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F7443" w:rsidRDefault="005F7443" w:rsidP="005F7443">
      <w:pPr>
        <w:pStyle w:val="Default"/>
      </w:pPr>
    </w:p>
    <w:p w:rsidR="005F7443" w:rsidRDefault="005F7443" w:rsidP="005F744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F7443" w:rsidRDefault="005F7443" w:rsidP="005F744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F7443" w:rsidRDefault="005F7443" w:rsidP="005F744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F744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F744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F7443" w:rsidRDefault="005F7443" w:rsidP="005F744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5F744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F7443" w:rsidRDefault="005F7443" w:rsidP="005F744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44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F7443" w:rsidRDefault="005F7443" w:rsidP="005F744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443" w:rsidRPr="00DE195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F7443" w:rsidRDefault="005F7443" w:rsidP="005F744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F7443" w:rsidRDefault="005F7443" w:rsidP="005F744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F7443" w:rsidRDefault="005F7443" w:rsidP="005F744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F7443" w:rsidRDefault="005F7443" w:rsidP="005F744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F7443" w:rsidRDefault="005F7443" w:rsidP="005F744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5F7443" w:rsidRPr="00DE195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F7443" w:rsidRDefault="005F7443" w:rsidP="005F744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44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F744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F7443" w:rsidRPr="00DE195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F7443" w:rsidRDefault="005F7443" w:rsidP="005F744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443" w:rsidRDefault="005F7443" w:rsidP="005F744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F7443" w:rsidRDefault="005F7443" w:rsidP="005F744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F7443" w:rsidRDefault="005F7443" w:rsidP="005F744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F7443" w:rsidRDefault="005F7443" w:rsidP="005F744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F7443" w:rsidRDefault="005F7443" w:rsidP="005F744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443" w:rsidRPr="00DE195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F7443" w:rsidRPr="00DE1953" w:rsidRDefault="005F7443" w:rsidP="005F744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443" w:rsidRPr="00DE1953" w:rsidRDefault="005F7443" w:rsidP="005F744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7443" w:rsidRDefault="005F7443" w:rsidP="005F744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F7443" w:rsidRDefault="005F7443" w:rsidP="005F744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F7443" w:rsidRDefault="005F7443" w:rsidP="005F744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F7443" w:rsidRDefault="005F7443" w:rsidP="005F7443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F7443" w:rsidRDefault="005F7443" w:rsidP="005F7443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5F7443" w:rsidRDefault="005F7443" w:rsidP="005F7443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F7443" w:rsidRPr="00176BC5" w:rsidRDefault="005F7443" w:rsidP="005F7443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F7443" w:rsidRDefault="005F7443" w:rsidP="005F7443">
      <w:pPr>
        <w:widowControl w:val="0"/>
        <w:jc w:val="both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5F7443" w:rsidSect="005F7443">
      <w:footerReference w:type="default" r:id="rId12"/>
      <w:footerReference w:type="first" r:id="rId13"/>
      <w:pgSz w:w="11906" w:h="16838" w:code="9"/>
      <w:pgMar w:top="993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D4458C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D4458C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8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4"/>
  </w:num>
  <w:num w:numId="11">
    <w:abstractNumId w:val="9"/>
  </w:num>
  <w:num w:numId="12">
    <w:abstractNumId w:val="19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2"/>
  </w:num>
  <w:num w:numId="18">
    <w:abstractNumId w:val="6"/>
  </w:num>
  <w:num w:numId="19">
    <w:abstractNumId w:val="12"/>
  </w:num>
  <w:num w:numId="20">
    <w:abstractNumId w:val="1"/>
  </w:num>
  <w:num w:numId="21">
    <w:abstractNumId w:val="13"/>
  </w:num>
  <w:num w:numId="22">
    <w:abstractNumId w:val="15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0514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267BF"/>
    <w:rsid w:val="001301C5"/>
    <w:rsid w:val="001310B6"/>
    <w:rsid w:val="0013556E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D4ADC"/>
    <w:rsid w:val="001D71F4"/>
    <w:rsid w:val="001D7869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94D28"/>
    <w:rsid w:val="002A368C"/>
    <w:rsid w:val="002A47ED"/>
    <w:rsid w:val="002A67D5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63AD"/>
    <w:rsid w:val="003201A6"/>
    <w:rsid w:val="00337072"/>
    <w:rsid w:val="00366A41"/>
    <w:rsid w:val="003713F7"/>
    <w:rsid w:val="003803D6"/>
    <w:rsid w:val="00391C33"/>
    <w:rsid w:val="003934E3"/>
    <w:rsid w:val="003A745F"/>
    <w:rsid w:val="003B05FF"/>
    <w:rsid w:val="003C4EAF"/>
    <w:rsid w:val="003C6A09"/>
    <w:rsid w:val="003D6AA8"/>
    <w:rsid w:val="003F564A"/>
    <w:rsid w:val="003F6AB2"/>
    <w:rsid w:val="004001CF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0CC2"/>
    <w:rsid w:val="004776F1"/>
    <w:rsid w:val="004A2C6C"/>
    <w:rsid w:val="004A3F5C"/>
    <w:rsid w:val="004B5836"/>
    <w:rsid w:val="004C46B2"/>
    <w:rsid w:val="004D536C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5F7443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2BE5"/>
    <w:rsid w:val="006F302B"/>
    <w:rsid w:val="00703D1F"/>
    <w:rsid w:val="0072397F"/>
    <w:rsid w:val="00723DE5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1545B"/>
    <w:rsid w:val="00921AA1"/>
    <w:rsid w:val="00930F76"/>
    <w:rsid w:val="00934727"/>
    <w:rsid w:val="0094054B"/>
    <w:rsid w:val="00940A5F"/>
    <w:rsid w:val="0094300E"/>
    <w:rsid w:val="00945298"/>
    <w:rsid w:val="0096046C"/>
    <w:rsid w:val="0099269E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F2CCF"/>
    <w:rsid w:val="009F5565"/>
    <w:rsid w:val="00A01634"/>
    <w:rsid w:val="00A01F52"/>
    <w:rsid w:val="00A04CB3"/>
    <w:rsid w:val="00A13E16"/>
    <w:rsid w:val="00A215C8"/>
    <w:rsid w:val="00A422F5"/>
    <w:rsid w:val="00A46A87"/>
    <w:rsid w:val="00A54FDA"/>
    <w:rsid w:val="00A6477B"/>
    <w:rsid w:val="00A71EE7"/>
    <w:rsid w:val="00A87AB0"/>
    <w:rsid w:val="00AA3FB3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402E"/>
    <w:rsid w:val="00BA714A"/>
    <w:rsid w:val="00BA7A7A"/>
    <w:rsid w:val="00BB3048"/>
    <w:rsid w:val="00BB60DC"/>
    <w:rsid w:val="00BC01E0"/>
    <w:rsid w:val="00BF3605"/>
    <w:rsid w:val="00BF430B"/>
    <w:rsid w:val="00C039B1"/>
    <w:rsid w:val="00C05C6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850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4458C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9A0"/>
    <w:rsid w:val="00EF02D4"/>
    <w:rsid w:val="00EF4009"/>
    <w:rsid w:val="00F03232"/>
    <w:rsid w:val="00F13D70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A1958"/>
    <w:rsid w:val="00FA5749"/>
    <w:rsid w:val="00FA7EED"/>
    <w:rsid w:val="00FB6BF4"/>
    <w:rsid w:val="00FC3A24"/>
    <w:rsid w:val="00FC76CF"/>
    <w:rsid w:val="00FD1379"/>
    <w:rsid w:val="00FD7F8F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F7443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F7443"/>
    <w:rPr>
      <w:rFonts w:ascii="Verdana" w:hAnsi="Verdana"/>
      <w:b/>
      <w:bCs/>
      <w:szCs w:val="16"/>
    </w:rPr>
  </w:style>
  <w:style w:type="paragraph" w:customStyle="1" w:styleId="Default">
    <w:name w:val="Default"/>
    <w:rsid w:val="005F74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F7443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F7443"/>
    <w:rPr>
      <w:rFonts w:ascii="Verdana" w:hAnsi="Verdana"/>
      <w:b/>
      <w:bCs/>
      <w:szCs w:val="16"/>
    </w:rPr>
  </w:style>
  <w:style w:type="paragraph" w:customStyle="1" w:styleId="Default">
    <w:name w:val="Default"/>
    <w:rsid w:val="005F74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2019-12-13T13:30:00Z</cp:lastPrinted>
  <dcterms:created xsi:type="dcterms:W3CDTF">2019-12-13T13:34:00Z</dcterms:created>
  <dcterms:modified xsi:type="dcterms:W3CDTF">2019-12-13T13:34:00Z</dcterms:modified>
</cp:coreProperties>
</file>